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9D30F9" w:rsidRPr="009D30F9">
        <w:rPr>
          <w:b/>
        </w:rPr>
        <w:t>3</w:t>
      </w:r>
      <w:r w:rsidRPr="009C4726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9D30F9" w:rsidRPr="009D30F9">
        <w:rPr>
          <w:b/>
        </w:rPr>
        <w:t>3</w:t>
      </w:r>
      <w:r w:rsidRPr="00A61728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9D30F9" w:rsidRPr="009D30F9">
        <w:rPr>
          <w:b/>
        </w:rPr>
        <w:t xml:space="preserve">18 </w:t>
      </w:r>
      <w:r>
        <w:t>обращени</w:t>
      </w:r>
      <w:r w:rsidR="009D30F9">
        <w:t>й</w:t>
      </w:r>
      <w:r w:rsidR="00875CE6">
        <w:t xml:space="preserve"> </w:t>
      </w:r>
      <w:r>
        <w:t>граждан, организаций и общественны</w:t>
      </w:r>
      <w:r w:rsidR="009D30F9">
        <w:t>х объединений (далее - обращений</w:t>
      </w:r>
      <w:r>
        <w:t xml:space="preserve">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875CE6">
        <w:rPr>
          <w:b/>
        </w:rPr>
        <w:t>5</w:t>
      </w:r>
      <w:r w:rsidR="00326E38" w:rsidRPr="00277E70">
        <w:rPr>
          <w:b/>
        </w:rPr>
        <w:t xml:space="preserve"> </w:t>
      </w:r>
      <w:r w:rsidR="009C6674">
        <w:t>(</w:t>
      </w:r>
      <w:r w:rsidR="009D30F9">
        <w:t>27,8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9D30F9">
        <w:rPr>
          <w:b/>
        </w:rPr>
        <w:t>5</w:t>
      </w:r>
      <w:r w:rsidR="009C6674">
        <w:rPr>
          <w:b/>
        </w:rPr>
        <w:t xml:space="preserve"> </w:t>
      </w:r>
      <w:r w:rsidR="009C6674" w:rsidRPr="009C6674">
        <w:t>(</w:t>
      </w:r>
      <w:r w:rsidR="009D30F9">
        <w:t>27</w:t>
      </w:r>
      <w:r w:rsidR="009C4FAF">
        <w:t>,8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9D30F9">
        <w:rPr>
          <w:b/>
        </w:rPr>
        <w:t>8</w:t>
      </w:r>
      <w:r w:rsidR="009C6674">
        <w:rPr>
          <w:b/>
        </w:rPr>
        <w:t xml:space="preserve"> </w:t>
      </w:r>
      <w:r w:rsidR="009C6674" w:rsidRPr="009C6674">
        <w:t>(</w:t>
      </w:r>
      <w:r w:rsidR="009D30F9">
        <w:t>44,4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B47657">
        <w:rPr>
          <w:b/>
        </w:rPr>
        <w:t>7</w:t>
      </w:r>
      <w:r w:rsidR="002F574E">
        <w:rPr>
          <w:b/>
        </w:rPr>
        <w:t xml:space="preserve"> </w:t>
      </w:r>
      <w:r>
        <w:t>(</w:t>
      </w:r>
      <w:r w:rsidR="00B47657">
        <w:t>38,9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A527FB">
        <w:rPr>
          <w:b/>
        </w:rPr>
        <w:t>11</w:t>
      </w:r>
      <w:r w:rsidR="002F574E">
        <w:rPr>
          <w:b/>
        </w:rPr>
        <w:t xml:space="preserve"> </w:t>
      </w:r>
      <w:r>
        <w:t>(</w:t>
      </w:r>
      <w:r w:rsidR="00A527FB">
        <w:t>61,1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9C5C97">
        <w:rPr>
          <w:b/>
        </w:rPr>
        <w:t>18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F6496B">
        <w:rPr>
          <w:b/>
        </w:rPr>
        <w:t>18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F46EDB">
        <w:rPr>
          <w:b/>
        </w:rPr>
        <w:t>5</w:t>
      </w:r>
      <w:r w:rsidR="002F574E">
        <w:rPr>
          <w:b/>
        </w:rPr>
        <w:t xml:space="preserve"> </w:t>
      </w:r>
      <w:r w:rsidR="00763E75">
        <w:t>(</w:t>
      </w:r>
      <w:r w:rsidR="00F46EDB">
        <w:t>27,8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>–</w:t>
      </w:r>
      <w:r w:rsidR="00F46EDB">
        <w:rPr>
          <w:b/>
        </w:rPr>
        <w:t xml:space="preserve">13 </w:t>
      </w:r>
      <w:r w:rsidR="008A1A12">
        <w:t>(</w:t>
      </w:r>
      <w:r w:rsidR="00F46EDB">
        <w:t>72,2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0E5404" w:rsidP="009C4726"/>
    <w:p w:rsidR="000E5404" w:rsidRDefault="000E5404" w:rsidP="009C4726">
      <w:r w:rsidRPr="000E5404">
        <w:rPr>
          <w:noProof/>
        </w:rPr>
        <w:drawing>
          <wp:inline distT="0" distB="0" distL="0" distR="0">
            <wp:extent cx="5770143" cy="3189428"/>
            <wp:effectExtent l="19050" t="0" r="2007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 w:rsidR="001A406A">
        <w:t>в 3</w:t>
      </w:r>
      <w:r w:rsidRPr="001D6F94">
        <w:rPr>
          <w:b/>
        </w:rPr>
        <w:t xml:space="preserve"> квартале 20</w:t>
      </w:r>
      <w:r w:rsidR="009C4FAF">
        <w:rPr>
          <w:b/>
        </w:rPr>
        <w:t>20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D6AA9" w:rsidRPr="00FB1E6A" w:rsidRDefault="00BD03A7" w:rsidP="009C4726">
      <w:pPr>
        <w:rPr>
          <w:color w:val="000000" w:themeColor="text1"/>
        </w:rPr>
      </w:pPr>
      <w:r w:rsidRPr="00FB1E6A">
        <w:rPr>
          <w:color w:val="000000" w:themeColor="text1"/>
        </w:rPr>
        <w:t>Московская область</w:t>
      </w:r>
      <w:r w:rsidR="00ED6AA9" w:rsidRPr="00FB1E6A">
        <w:rPr>
          <w:color w:val="000000" w:themeColor="text1"/>
        </w:rPr>
        <w:t xml:space="preserve"> – </w:t>
      </w:r>
      <w:r w:rsidRPr="00FB1E6A">
        <w:rPr>
          <w:b/>
          <w:color w:val="000000" w:themeColor="text1"/>
        </w:rPr>
        <w:t>3</w:t>
      </w:r>
      <w:r w:rsidR="000F5E4E" w:rsidRPr="00FB1E6A">
        <w:rPr>
          <w:b/>
          <w:color w:val="000000" w:themeColor="text1"/>
        </w:rPr>
        <w:t xml:space="preserve"> </w:t>
      </w:r>
      <w:r w:rsidR="00ED6AA9" w:rsidRPr="00FB1E6A">
        <w:rPr>
          <w:color w:val="000000" w:themeColor="text1"/>
        </w:rPr>
        <w:t>(</w:t>
      </w:r>
      <w:r w:rsidRPr="00FB1E6A">
        <w:rPr>
          <w:color w:val="000000" w:themeColor="text1"/>
        </w:rPr>
        <w:t>16,7</w:t>
      </w:r>
      <w:r w:rsidR="000F5E4E" w:rsidRPr="00FB1E6A">
        <w:rPr>
          <w:color w:val="000000" w:themeColor="text1"/>
        </w:rPr>
        <w:t xml:space="preserve"> %</w:t>
      </w:r>
      <w:r w:rsidR="00ED6AA9" w:rsidRPr="00FB1E6A">
        <w:rPr>
          <w:color w:val="000000" w:themeColor="text1"/>
        </w:rPr>
        <w:t>);</w:t>
      </w:r>
    </w:p>
    <w:p w:rsidR="009C4FAF" w:rsidRPr="00FB1E6A" w:rsidRDefault="00BD03A7" w:rsidP="009C4FAF">
      <w:pPr>
        <w:rPr>
          <w:color w:val="000000" w:themeColor="text1"/>
        </w:rPr>
      </w:pPr>
      <w:r w:rsidRPr="00FB1E6A">
        <w:rPr>
          <w:color w:val="000000" w:themeColor="text1"/>
        </w:rPr>
        <w:t>Калининградская область</w:t>
      </w:r>
      <w:r w:rsidR="009C4FAF" w:rsidRPr="00FB1E6A">
        <w:rPr>
          <w:color w:val="000000" w:themeColor="text1"/>
        </w:rPr>
        <w:t xml:space="preserve"> - </w:t>
      </w:r>
      <w:r w:rsidR="009C4FAF" w:rsidRPr="00FB1E6A">
        <w:rPr>
          <w:b/>
          <w:color w:val="000000" w:themeColor="text1"/>
        </w:rPr>
        <w:t xml:space="preserve">1 </w:t>
      </w:r>
      <w:r w:rsidR="009C4FAF" w:rsidRPr="00FB1E6A">
        <w:rPr>
          <w:color w:val="000000" w:themeColor="text1"/>
        </w:rPr>
        <w:t>(</w:t>
      </w:r>
      <w:r w:rsidR="00F1721F" w:rsidRPr="00FB1E6A">
        <w:rPr>
          <w:color w:val="000000" w:themeColor="text1"/>
        </w:rPr>
        <w:t>5,5</w:t>
      </w:r>
      <w:r w:rsidR="009C4FAF" w:rsidRPr="00FB1E6A">
        <w:rPr>
          <w:color w:val="000000" w:themeColor="text1"/>
        </w:rPr>
        <w:t xml:space="preserve"> %);</w:t>
      </w:r>
    </w:p>
    <w:p w:rsidR="00EC75EA" w:rsidRPr="00FB1E6A" w:rsidRDefault="001D6F94" w:rsidP="009C4726">
      <w:pPr>
        <w:rPr>
          <w:color w:val="000000" w:themeColor="text1"/>
        </w:rPr>
      </w:pPr>
      <w:r w:rsidRPr="00FB1E6A">
        <w:rPr>
          <w:color w:val="000000" w:themeColor="text1"/>
        </w:rPr>
        <w:t>Камчатский край</w:t>
      </w:r>
      <w:r w:rsidR="002E18CA" w:rsidRPr="00FB1E6A">
        <w:rPr>
          <w:color w:val="000000" w:themeColor="text1"/>
        </w:rPr>
        <w:t xml:space="preserve"> </w:t>
      </w:r>
      <w:r w:rsidR="002F574E" w:rsidRPr="00FB1E6A">
        <w:rPr>
          <w:color w:val="000000" w:themeColor="text1"/>
        </w:rPr>
        <w:t>–</w:t>
      </w:r>
      <w:r w:rsidR="002E18CA" w:rsidRPr="00FB1E6A">
        <w:rPr>
          <w:color w:val="000000" w:themeColor="text1"/>
        </w:rPr>
        <w:t xml:space="preserve"> </w:t>
      </w:r>
      <w:r w:rsidR="00BD03A7" w:rsidRPr="00FB1E6A">
        <w:rPr>
          <w:b/>
          <w:color w:val="000000" w:themeColor="text1"/>
        </w:rPr>
        <w:t>14</w:t>
      </w:r>
      <w:r w:rsidR="002F574E" w:rsidRPr="00FB1E6A">
        <w:rPr>
          <w:b/>
          <w:color w:val="000000" w:themeColor="text1"/>
        </w:rPr>
        <w:t xml:space="preserve"> </w:t>
      </w:r>
      <w:r w:rsidR="002E18CA" w:rsidRPr="00FB1E6A">
        <w:rPr>
          <w:color w:val="000000" w:themeColor="text1"/>
        </w:rPr>
        <w:t>(</w:t>
      </w:r>
      <w:r w:rsidR="00BD03A7" w:rsidRPr="00FB1E6A">
        <w:rPr>
          <w:color w:val="000000" w:themeColor="text1"/>
        </w:rPr>
        <w:t>77,8</w:t>
      </w:r>
      <w:r w:rsidR="002E18CA" w:rsidRPr="00FB1E6A">
        <w:rPr>
          <w:color w:val="000000" w:themeColor="text1"/>
        </w:rPr>
        <w:t>%)</w:t>
      </w:r>
      <w:r w:rsidR="00055998" w:rsidRPr="00FB1E6A">
        <w:rPr>
          <w:color w:val="000000" w:themeColor="text1"/>
        </w:rPr>
        <w:t>.</w:t>
      </w:r>
    </w:p>
    <w:p w:rsidR="00BF04D8" w:rsidRPr="00594E53" w:rsidRDefault="002F4BEE" w:rsidP="009C4726">
      <w:r w:rsidRPr="00594E53">
        <w:t xml:space="preserve">В </w:t>
      </w:r>
      <w:r w:rsidR="009420B8" w:rsidRPr="009420B8">
        <w:rPr>
          <w:b/>
        </w:rPr>
        <w:t>3</w:t>
      </w:r>
      <w:r w:rsidRPr="00594E53">
        <w:rPr>
          <w:b/>
        </w:rPr>
        <w:t xml:space="preserve"> квартале 20</w:t>
      </w:r>
      <w:r w:rsidR="009C4FAF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9420B8" w:rsidRPr="009420B8">
        <w:rPr>
          <w:b/>
        </w:rPr>
        <w:t>18</w:t>
      </w:r>
      <w:r w:rsidRPr="00594E53">
        <w:t xml:space="preserve"> обращени</w:t>
      </w:r>
      <w:r w:rsidR="009420B8">
        <w:t>й</w:t>
      </w:r>
      <w:r w:rsidRPr="00594E53">
        <w:t xml:space="preserve"> граждан, что </w:t>
      </w:r>
      <w:r w:rsidR="003C2A9F" w:rsidRPr="00594E53">
        <w:t xml:space="preserve">на </w:t>
      </w:r>
      <w:r w:rsidR="009420B8" w:rsidRPr="009420B8">
        <w:rPr>
          <w:b/>
        </w:rPr>
        <w:t>72</w:t>
      </w:r>
      <w:r w:rsidR="009420B8">
        <w:rPr>
          <w:b/>
        </w:rPr>
        <w:t>,2</w:t>
      </w:r>
      <w:r w:rsidR="003C2A9F" w:rsidRPr="00594E53">
        <w:t xml:space="preserve">% </w:t>
      </w:r>
      <w:r w:rsidR="00DB5778">
        <w:t>больше</w:t>
      </w:r>
      <w:r w:rsidR="00763E75" w:rsidRPr="00594E53">
        <w:t>, чем в</w:t>
      </w:r>
      <w:r w:rsidR="009420B8">
        <w:t>о</w:t>
      </w:r>
      <w:r w:rsidR="00763E75" w:rsidRPr="00594E53">
        <w:t xml:space="preserve"> </w:t>
      </w:r>
      <w:r w:rsidR="009420B8">
        <w:rPr>
          <w:b/>
        </w:rPr>
        <w:t>2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9420B8">
        <w:rPr>
          <w:b/>
        </w:rPr>
        <w:t>2020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420B8">
        <w:t>.</w:t>
      </w:r>
      <w:r w:rsidR="00EA5029" w:rsidRPr="00EA5029">
        <w:t xml:space="preserve"> </w:t>
      </w:r>
      <w:r w:rsidR="00963C5B" w:rsidRPr="00594E53">
        <w:t xml:space="preserve">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594E53">
        <w:rPr>
          <w:b/>
        </w:rPr>
        <w:t>на 1</w:t>
      </w:r>
      <w:r w:rsidR="00055998" w:rsidRPr="00594E53">
        <w:rPr>
          <w:b/>
        </w:rPr>
        <w:t xml:space="preserve"> </w:t>
      </w:r>
      <w:r w:rsidR="00EA5029">
        <w:rPr>
          <w:b/>
        </w:rPr>
        <w:t>октября</w:t>
      </w:r>
      <w:r w:rsidR="0054462B" w:rsidRPr="00594E53">
        <w:rPr>
          <w:b/>
        </w:rPr>
        <w:t xml:space="preserve"> 20</w:t>
      </w:r>
      <w:r w:rsidR="00DB5778">
        <w:rPr>
          <w:b/>
        </w:rPr>
        <w:t>20</w:t>
      </w:r>
      <w:r w:rsidR="0054462B" w:rsidRPr="00594E53">
        <w:rPr>
          <w:b/>
        </w:rPr>
        <w:t xml:space="preserve"> года</w:t>
      </w:r>
      <w:r w:rsidR="00034BCB" w:rsidRPr="00594E53">
        <w:rPr>
          <w:b/>
        </w:rPr>
        <w:t>,</w:t>
      </w:r>
      <w:r w:rsidR="00BF04D8" w:rsidRPr="00594E53">
        <w:t xml:space="preserve"> нет.</w:t>
      </w:r>
      <w:r w:rsidR="003C2A9F" w:rsidRPr="00594E53">
        <w:t xml:space="preserve"> </w:t>
      </w:r>
    </w:p>
    <w:p w:rsidR="003C2A9F" w:rsidRPr="00594E53" w:rsidRDefault="00763E75" w:rsidP="009C4726">
      <w:r w:rsidRPr="00594E53">
        <w:lastRenderedPageBreak/>
        <w:t xml:space="preserve">По результатам рассмотрения обращений граждан в </w:t>
      </w:r>
      <w:r w:rsidR="004E04C1">
        <w:rPr>
          <w:b/>
        </w:rPr>
        <w:t>3</w:t>
      </w:r>
      <w:r w:rsidRPr="00594E53">
        <w:rPr>
          <w:b/>
        </w:rPr>
        <w:t xml:space="preserve"> квартале 20</w:t>
      </w:r>
      <w:r w:rsidR="00E875F2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4E04C1">
        <w:rPr>
          <w:b/>
        </w:rPr>
        <w:t>18</w:t>
      </w:r>
      <w:r w:rsidR="00515E8F" w:rsidRPr="00594E53">
        <w:t xml:space="preserve"> </w:t>
      </w:r>
      <w:r w:rsidR="002F574E" w:rsidRPr="00594E53">
        <w:t>ответ</w:t>
      </w:r>
      <w:r w:rsidR="004E04C1">
        <w:t>ов</w:t>
      </w:r>
      <w:r w:rsidRPr="00594E53">
        <w:t xml:space="preserve">, что на </w:t>
      </w:r>
      <w:r w:rsidR="00E75CD1">
        <w:rPr>
          <w:b/>
        </w:rPr>
        <w:t>72,2</w:t>
      </w:r>
      <w:r w:rsidRPr="00594E53">
        <w:t xml:space="preserve">% </w:t>
      </w:r>
      <w:r w:rsidR="00E875F2">
        <w:t>больше</w:t>
      </w:r>
      <w:r w:rsidRPr="00594E53">
        <w:t>, чем в</w:t>
      </w:r>
      <w:r w:rsidR="00E75CD1">
        <w:t>о</w:t>
      </w:r>
      <w:r w:rsidRPr="00594E53">
        <w:t xml:space="preserve"> </w:t>
      </w:r>
      <w:r w:rsidR="00E75CD1">
        <w:rPr>
          <w:b/>
        </w:rPr>
        <w:t>2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</w:t>
      </w:r>
      <w:r w:rsidR="00E75CD1">
        <w:rPr>
          <w:b/>
        </w:rPr>
        <w:t>20</w:t>
      </w:r>
      <w:r w:rsidRPr="00594E53">
        <w:rPr>
          <w:b/>
        </w:rPr>
        <w:t xml:space="preserve"> года</w:t>
      </w:r>
      <w:r w:rsidR="000631EE">
        <w:t>.</w:t>
      </w:r>
      <w:r w:rsidR="004C3ADD" w:rsidRPr="00594E53">
        <w:t xml:space="preserve"> </w:t>
      </w:r>
      <w:r w:rsidR="000631EE">
        <w:t>И</w:t>
      </w:r>
      <w:r w:rsidRPr="00594E53">
        <w:t>з них:</w:t>
      </w:r>
    </w:p>
    <w:p w:rsidR="00763E75" w:rsidRPr="00594E53" w:rsidRDefault="00763E75" w:rsidP="009C4726">
      <w:r w:rsidRPr="00594E53">
        <w:t xml:space="preserve">письменных - </w:t>
      </w:r>
      <w:r w:rsidR="000631EE">
        <w:rPr>
          <w:b/>
        </w:rPr>
        <w:t>18</w:t>
      </w:r>
      <w:r w:rsidRPr="00594E53">
        <w:t xml:space="preserve"> (</w:t>
      </w:r>
      <w:r w:rsidR="007D1070" w:rsidRPr="00594E53">
        <w:t>100</w:t>
      </w:r>
      <w:r w:rsidRPr="00594E53">
        <w:t>%)</w:t>
      </w:r>
      <w:r w:rsidR="00515E8F" w:rsidRPr="00594E5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F66DEC">
        <w:rPr>
          <w:b/>
        </w:rPr>
        <w:t>18</w:t>
      </w:r>
      <w:r>
        <w:t xml:space="preserve"> (</w:t>
      </w:r>
      <w:r w:rsidR="00E875F2">
        <w:t>100</w:t>
      </w:r>
      <w:r>
        <w:t>%);</w:t>
      </w:r>
    </w:p>
    <w:p w:rsidR="00E875F2" w:rsidRDefault="00E875F2" w:rsidP="009C4726">
      <w:r>
        <w:t xml:space="preserve">«Разъяснено» - </w:t>
      </w:r>
      <w:r w:rsidR="00F66DEC">
        <w:rPr>
          <w:b/>
        </w:rPr>
        <w:t>7</w:t>
      </w:r>
      <w:r>
        <w:t xml:space="preserve"> (</w:t>
      </w:r>
      <w:r w:rsidR="00F66DEC">
        <w:t>38,9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E875F2">
        <w:rPr>
          <w:b/>
        </w:rPr>
        <w:t>1</w:t>
      </w:r>
      <w:r w:rsidR="00F66DEC">
        <w:rPr>
          <w:b/>
        </w:rPr>
        <w:t>1</w:t>
      </w:r>
      <w:r>
        <w:t xml:space="preserve"> (</w:t>
      </w:r>
      <w:r w:rsidR="00F66DEC">
        <w:t>61,1</w:t>
      </w:r>
      <w:r>
        <w:t>%)</w:t>
      </w:r>
      <w:r w:rsidR="002F1C27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D11608">
        <w:rPr>
          <w:b/>
        </w:rPr>
        <w:t>18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D11608">
        <w:rPr>
          <w:b/>
        </w:rPr>
        <w:t>18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9107CE">
        <w:rPr>
          <w:b/>
        </w:rPr>
        <w:t xml:space="preserve">12 </w:t>
      </w:r>
      <w:r w:rsidR="009107CE" w:rsidRPr="009107CE">
        <w:t>(</w:t>
      </w:r>
      <w:r w:rsidR="009107CE">
        <w:t>66,7</w:t>
      </w:r>
      <w:r w:rsidRPr="00BA558F">
        <w:t>%)</w:t>
      </w:r>
      <w:r w:rsidR="00E875F2">
        <w:t>;</w:t>
      </w:r>
    </w:p>
    <w:p w:rsidR="00E875F2" w:rsidRPr="00BA558F" w:rsidRDefault="00E875F2" w:rsidP="008C45AB">
      <w:r w:rsidRPr="00BA558F">
        <w:t xml:space="preserve">за подписью </w:t>
      </w:r>
      <w:r>
        <w:t xml:space="preserve">заместителя </w:t>
      </w:r>
      <w:r w:rsidRPr="00BA558F">
        <w:t>руководителя</w:t>
      </w:r>
      <w:r>
        <w:t xml:space="preserve"> </w:t>
      </w:r>
      <w:proofErr w:type="spellStart"/>
      <w:r>
        <w:t>Камчатстата</w:t>
      </w:r>
      <w:proofErr w:type="spellEnd"/>
      <w:r>
        <w:t xml:space="preserve"> – </w:t>
      </w:r>
      <w:r w:rsidRPr="00E875F2">
        <w:rPr>
          <w:b/>
        </w:rPr>
        <w:t>6</w:t>
      </w:r>
      <w:r>
        <w:t xml:space="preserve"> (</w:t>
      </w:r>
      <w:r w:rsidR="009107CE">
        <w:t>33,3</w:t>
      </w:r>
      <w:r>
        <w:t>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9107CE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</w:t>
      </w:r>
      <w:r w:rsidR="00E875F2">
        <w:rPr>
          <w:b/>
          <w:sz w:val="28"/>
          <w:szCs w:val="28"/>
        </w:rPr>
        <w:t>20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9" w:rsidRDefault="007B0BE9" w:rsidP="00CD7746">
      <w:r>
        <w:separator/>
      </w:r>
    </w:p>
  </w:endnote>
  <w:endnote w:type="continuationSeparator" w:id="0">
    <w:p w:rsidR="007B0BE9" w:rsidRDefault="007B0BE9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9" w:rsidRDefault="007B0BE9" w:rsidP="00CD7746">
      <w:r>
        <w:separator/>
      </w:r>
    </w:p>
  </w:footnote>
  <w:footnote w:type="continuationSeparator" w:id="0">
    <w:p w:rsidR="007B0BE9" w:rsidRDefault="007B0BE9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323189">
        <w:pPr>
          <w:pStyle w:val="a8"/>
          <w:jc w:val="center"/>
        </w:pPr>
        <w:fldSimple w:instr="PAGE   \* MERGEFORMAT">
          <w:r w:rsidR="009107CE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55998"/>
    <w:rsid w:val="000563D1"/>
    <w:rsid w:val="000631EE"/>
    <w:rsid w:val="0006348E"/>
    <w:rsid w:val="000862EA"/>
    <w:rsid w:val="00086E38"/>
    <w:rsid w:val="000C44B6"/>
    <w:rsid w:val="000D1796"/>
    <w:rsid w:val="000D42CA"/>
    <w:rsid w:val="000E5404"/>
    <w:rsid w:val="000F5E4E"/>
    <w:rsid w:val="00112A9D"/>
    <w:rsid w:val="00136630"/>
    <w:rsid w:val="001378F2"/>
    <w:rsid w:val="001428B4"/>
    <w:rsid w:val="001445DE"/>
    <w:rsid w:val="00145B64"/>
    <w:rsid w:val="0015757A"/>
    <w:rsid w:val="0019210A"/>
    <w:rsid w:val="001A33CB"/>
    <w:rsid w:val="001A406A"/>
    <w:rsid w:val="001A76BB"/>
    <w:rsid w:val="001B2488"/>
    <w:rsid w:val="001C2FD0"/>
    <w:rsid w:val="001D6F94"/>
    <w:rsid w:val="001E3DEA"/>
    <w:rsid w:val="002031DB"/>
    <w:rsid w:val="002131A8"/>
    <w:rsid w:val="002215DA"/>
    <w:rsid w:val="00247244"/>
    <w:rsid w:val="00261BB3"/>
    <w:rsid w:val="002729F7"/>
    <w:rsid w:val="00277E70"/>
    <w:rsid w:val="00280953"/>
    <w:rsid w:val="002941A4"/>
    <w:rsid w:val="002A71C1"/>
    <w:rsid w:val="002C40FF"/>
    <w:rsid w:val="002D7EBB"/>
    <w:rsid w:val="002E18CA"/>
    <w:rsid w:val="002F1628"/>
    <w:rsid w:val="002F1C27"/>
    <w:rsid w:val="002F4BEE"/>
    <w:rsid w:val="002F574E"/>
    <w:rsid w:val="003207F3"/>
    <w:rsid w:val="00322AB1"/>
    <w:rsid w:val="00323189"/>
    <w:rsid w:val="00326E38"/>
    <w:rsid w:val="00342E4C"/>
    <w:rsid w:val="00365C1B"/>
    <w:rsid w:val="00371B6D"/>
    <w:rsid w:val="00373DFE"/>
    <w:rsid w:val="00375C94"/>
    <w:rsid w:val="00381DE3"/>
    <w:rsid w:val="00395C36"/>
    <w:rsid w:val="003C1206"/>
    <w:rsid w:val="003C2A9F"/>
    <w:rsid w:val="003D1277"/>
    <w:rsid w:val="003F4840"/>
    <w:rsid w:val="003F7D31"/>
    <w:rsid w:val="00407373"/>
    <w:rsid w:val="00413BD0"/>
    <w:rsid w:val="00423E73"/>
    <w:rsid w:val="00431F67"/>
    <w:rsid w:val="00432AD9"/>
    <w:rsid w:val="00435BDA"/>
    <w:rsid w:val="0043644C"/>
    <w:rsid w:val="004544A9"/>
    <w:rsid w:val="00494967"/>
    <w:rsid w:val="00497830"/>
    <w:rsid w:val="004B0A57"/>
    <w:rsid w:val="004B580D"/>
    <w:rsid w:val="004C1ABA"/>
    <w:rsid w:val="004C3ADD"/>
    <w:rsid w:val="004E04C1"/>
    <w:rsid w:val="004F57CC"/>
    <w:rsid w:val="00515E8F"/>
    <w:rsid w:val="00520A2D"/>
    <w:rsid w:val="00530106"/>
    <w:rsid w:val="0054462B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E3537"/>
    <w:rsid w:val="00600058"/>
    <w:rsid w:val="0060354D"/>
    <w:rsid w:val="00605B00"/>
    <w:rsid w:val="00605FC6"/>
    <w:rsid w:val="006320E1"/>
    <w:rsid w:val="006505E9"/>
    <w:rsid w:val="0065169B"/>
    <w:rsid w:val="00656169"/>
    <w:rsid w:val="00660D7C"/>
    <w:rsid w:val="006801F8"/>
    <w:rsid w:val="0069439A"/>
    <w:rsid w:val="00697922"/>
    <w:rsid w:val="006B588A"/>
    <w:rsid w:val="006C7AD4"/>
    <w:rsid w:val="006E7B40"/>
    <w:rsid w:val="006F7449"/>
    <w:rsid w:val="00702548"/>
    <w:rsid w:val="00712CC2"/>
    <w:rsid w:val="0072111A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B0BE9"/>
    <w:rsid w:val="007D1070"/>
    <w:rsid w:val="007D38F9"/>
    <w:rsid w:val="007D3E35"/>
    <w:rsid w:val="00822055"/>
    <w:rsid w:val="0086148E"/>
    <w:rsid w:val="00875CE6"/>
    <w:rsid w:val="008A1A12"/>
    <w:rsid w:val="008A34D3"/>
    <w:rsid w:val="008A67E9"/>
    <w:rsid w:val="008B2B11"/>
    <w:rsid w:val="008B56DA"/>
    <w:rsid w:val="008C45AB"/>
    <w:rsid w:val="008C695F"/>
    <w:rsid w:val="009107CE"/>
    <w:rsid w:val="00912071"/>
    <w:rsid w:val="009136BD"/>
    <w:rsid w:val="00935793"/>
    <w:rsid w:val="009420B8"/>
    <w:rsid w:val="0095664D"/>
    <w:rsid w:val="00963C5B"/>
    <w:rsid w:val="009661E0"/>
    <w:rsid w:val="0098157E"/>
    <w:rsid w:val="009947EC"/>
    <w:rsid w:val="00995AF0"/>
    <w:rsid w:val="009A05C4"/>
    <w:rsid w:val="009A1C7F"/>
    <w:rsid w:val="009A5C20"/>
    <w:rsid w:val="009B1145"/>
    <w:rsid w:val="009B1AF3"/>
    <w:rsid w:val="009B6C74"/>
    <w:rsid w:val="009C4726"/>
    <w:rsid w:val="009C4FAF"/>
    <w:rsid w:val="009C5C97"/>
    <w:rsid w:val="009C6674"/>
    <w:rsid w:val="009D30F9"/>
    <w:rsid w:val="009F4D42"/>
    <w:rsid w:val="00A02F17"/>
    <w:rsid w:val="00A3187C"/>
    <w:rsid w:val="00A46789"/>
    <w:rsid w:val="00A527FB"/>
    <w:rsid w:val="00A61728"/>
    <w:rsid w:val="00AA4871"/>
    <w:rsid w:val="00AA7896"/>
    <w:rsid w:val="00AB304D"/>
    <w:rsid w:val="00AB4DFC"/>
    <w:rsid w:val="00AD2A25"/>
    <w:rsid w:val="00AE14DF"/>
    <w:rsid w:val="00AE65D1"/>
    <w:rsid w:val="00AE7D2B"/>
    <w:rsid w:val="00AF24FA"/>
    <w:rsid w:val="00B00A79"/>
    <w:rsid w:val="00B02F24"/>
    <w:rsid w:val="00B205D3"/>
    <w:rsid w:val="00B26DB3"/>
    <w:rsid w:val="00B47657"/>
    <w:rsid w:val="00B5249B"/>
    <w:rsid w:val="00B93504"/>
    <w:rsid w:val="00B96377"/>
    <w:rsid w:val="00BA558F"/>
    <w:rsid w:val="00BC04A6"/>
    <w:rsid w:val="00BC24CF"/>
    <w:rsid w:val="00BD03A7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301A"/>
    <w:rsid w:val="00C64854"/>
    <w:rsid w:val="00C72F46"/>
    <w:rsid w:val="00CC1923"/>
    <w:rsid w:val="00CC1E68"/>
    <w:rsid w:val="00CC32E9"/>
    <w:rsid w:val="00CD3BA0"/>
    <w:rsid w:val="00CD7746"/>
    <w:rsid w:val="00CE0AA8"/>
    <w:rsid w:val="00D11608"/>
    <w:rsid w:val="00D12EF1"/>
    <w:rsid w:val="00D2402C"/>
    <w:rsid w:val="00D44DA5"/>
    <w:rsid w:val="00D454DD"/>
    <w:rsid w:val="00D54FED"/>
    <w:rsid w:val="00D809E2"/>
    <w:rsid w:val="00D828EB"/>
    <w:rsid w:val="00DA3A4E"/>
    <w:rsid w:val="00DA496A"/>
    <w:rsid w:val="00DA6275"/>
    <w:rsid w:val="00DB5778"/>
    <w:rsid w:val="00DC3460"/>
    <w:rsid w:val="00DC54F3"/>
    <w:rsid w:val="00DD1B75"/>
    <w:rsid w:val="00DE39D7"/>
    <w:rsid w:val="00E13D9D"/>
    <w:rsid w:val="00E349F7"/>
    <w:rsid w:val="00E60112"/>
    <w:rsid w:val="00E64219"/>
    <w:rsid w:val="00E74A00"/>
    <w:rsid w:val="00E75CD1"/>
    <w:rsid w:val="00E84F8E"/>
    <w:rsid w:val="00E875F2"/>
    <w:rsid w:val="00E94BB1"/>
    <w:rsid w:val="00EA0038"/>
    <w:rsid w:val="00EA2A4D"/>
    <w:rsid w:val="00EA5029"/>
    <w:rsid w:val="00EC75EA"/>
    <w:rsid w:val="00ED6AA9"/>
    <w:rsid w:val="00ED7BA4"/>
    <w:rsid w:val="00EE06E9"/>
    <w:rsid w:val="00EE2098"/>
    <w:rsid w:val="00EE3703"/>
    <w:rsid w:val="00EE4ECA"/>
    <w:rsid w:val="00EE58B6"/>
    <w:rsid w:val="00EF62B3"/>
    <w:rsid w:val="00F069B3"/>
    <w:rsid w:val="00F1721F"/>
    <w:rsid w:val="00F2514C"/>
    <w:rsid w:val="00F42F5A"/>
    <w:rsid w:val="00F43587"/>
    <w:rsid w:val="00F46EDB"/>
    <w:rsid w:val="00F519F5"/>
    <w:rsid w:val="00F6496B"/>
    <w:rsid w:val="00F66DEC"/>
    <w:rsid w:val="00F85A04"/>
    <w:rsid w:val="00FB1E6A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4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</c:dLbl>
            <c:dLbl>
              <c:idx val="1"/>
              <c:layout>
                <c:manualLayout>
                  <c:x val="1.3426538053970007E-2"/>
                  <c:y val="-4.0254818230944747E-2"/>
                </c:manualLayout>
              </c:layout>
              <c:showVal val="1"/>
            </c:dLbl>
            <c:dLbl>
              <c:idx val="2"/>
              <c:layout>
                <c:manualLayout>
                  <c:x val="7.4049411094286293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487E-2"/>
                  <c:y val="-5.3233855178064372E-2"/>
                </c:manualLayout>
              </c:layout>
              <c:showVal val="1"/>
            </c:dLbl>
            <c:dLbl>
              <c:idx val="2"/>
              <c:layout>
                <c:manualLayout>
                  <c:x val="2.4316251492673493E-2"/>
                  <c:y val="-5.323385517806437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hape val="box"/>
        <c:axId val="110083456"/>
        <c:axId val="110089344"/>
        <c:axId val="0"/>
      </c:bar3DChart>
      <c:catAx>
        <c:axId val="110083456"/>
        <c:scaling>
          <c:orientation val="minMax"/>
        </c:scaling>
        <c:axPos val="b"/>
        <c:tickLblPos val="nextTo"/>
        <c:crossAx val="110089344"/>
        <c:crosses val="autoZero"/>
        <c:auto val="1"/>
        <c:lblAlgn val="ctr"/>
        <c:lblOffset val="100"/>
      </c:catAx>
      <c:valAx>
        <c:axId val="110089344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100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1893"/>
          <c:w val="0.20429233670232189"/>
          <c:h val="0.18798769030282006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554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004E-3"/>
                  <c:y val="-1.9841269841269958E-2"/>
                </c:manualLayout>
              </c:layout>
              <c:showVal val="1"/>
            </c:dLbl>
            <c:dLbl>
              <c:idx val="1"/>
              <c:layout>
                <c:manualLayout>
                  <c:x val="6.9444444444444501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-4.6296296296296502E-3"/>
                  <c:y val="-2.777777777777796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shape val="box"/>
        <c:axId val="117843072"/>
        <c:axId val="117844608"/>
        <c:axId val="0"/>
      </c:bar3DChart>
      <c:catAx>
        <c:axId val="117843072"/>
        <c:scaling>
          <c:orientation val="minMax"/>
        </c:scaling>
        <c:axPos val="b"/>
        <c:tickLblPos val="nextTo"/>
        <c:crossAx val="117844608"/>
        <c:crosses val="autoZero"/>
        <c:auto val="1"/>
        <c:lblAlgn val="ctr"/>
        <c:lblOffset val="100"/>
      </c:catAx>
      <c:valAx>
        <c:axId val="117844608"/>
        <c:scaling>
          <c:orientation val="minMax"/>
        </c:scaling>
        <c:axPos val="l"/>
        <c:majorGridlines/>
        <c:numFmt formatCode="General" sourceLinked="1"/>
        <c:tickLblPos val="nextTo"/>
        <c:crossAx val="1178430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ru-RU" sz="1200">
                <a:solidFill>
                  <a:schemeClr val="tx1"/>
                </a:solidFill>
              </a:rPr>
              <a:t>Тематика</a:t>
            </a:r>
            <a:r>
              <a:rPr lang="ru-RU" sz="1200" baseline="0">
                <a:solidFill>
                  <a:schemeClr val="tx1"/>
                </a:solidFill>
              </a:rPr>
              <a:t> обращений граждан в </a:t>
            </a:r>
            <a:r>
              <a:rPr lang="en-US" sz="1200" baseline="0">
                <a:solidFill>
                  <a:schemeClr val="tx1"/>
                </a:solidFill>
              </a:rPr>
              <a:t>3</a:t>
            </a:r>
            <a:r>
              <a:rPr lang="ru-RU" sz="1200" baseline="0">
                <a:solidFill>
                  <a:schemeClr val="tx1"/>
                </a:solidFill>
              </a:rPr>
              <a:t> квартале 2020 года</a:t>
            </a:r>
            <a:endParaRPr lang="ru-RU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6716396803337458"/>
          <c:y val="2.647810202958038E-3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1914002824540069"/>
          <c:y val="0.30948213911710948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5.7105517142296197E-2"/>
                  <c:y val="-9.408176011497999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0517689076336578E-2"/>
                  <c:y val="-8.294966997217055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0391693932022246E-2"/>
                  <c:y val="7.320842483354397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929949396401461"/>
                  <c:y val="2.460597950478898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4209204173969415E-2"/>
                  <c:y val="4.542883551533387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5314870012753577E-2"/>
                  <c:y val="-6.588328690912623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7.6099500480317384E-2"/>
                  <c:y val="-0.1855840608410037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2995097348540591E-2"/>
                  <c:y val="-0.15303308304812058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386892664531884"/>
                  <c:y val="-7.274219703344941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Инфляция и дефляция</c:v>
                </c:pt>
                <c:pt idx="1">
                  <c:v>Обеспение населения изделиями медиц. назнач-я. Фармацевтика. Аптеки</c:v>
                </c:pt>
                <c:pt idx="2">
                  <c:v>Заработная плата</c:v>
                </c:pt>
                <c:pt idx="3">
                  <c:v>Запросы архивных данных</c:v>
                </c:pt>
                <c:pt idx="4">
                  <c:v>Всероссийская перепись населения. Микропереписи</c:v>
                </c:pt>
                <c:pt idx="5">
                  <c:v>Трудовые вопросы работающих в р-х Крайнего Севера</c:v>
                </c:pt>
                <c:pt idx="6">
                  <c:v>Внутрироссийская миграция</c:v>
                </c:pt>
                <c:pt idx="7">
                  <c:v>Комплексное благоустройство</c:v>
                </c:pt>
                <c:pt idx="8">
                  <c:v>Социально-экономич.развитие субъектов РФ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BFB1-49A8-4660-B4CF-DA2053D0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30</cp:revision>
  <cp:lastPrinted>2020-03-30T06:28:00Z</cp:lastPrinted>
  <dcterms:created xsi:type="dcterms:W3CDTF">2020-03-30T05:52:00Z</dcterms:created>
  <dcterms:modified xsi:type="dcterms:W3CDTF">2020-10-05T03:58:00Z</dcterms:modified>
</cp:coreProperties>
</file>